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7A5D" w14:textId="38D01234" w:rsidR="00CD2FCB" w:rsidRPr="00E7427F" w:rsidRDefault="00CD2FCB" w:rsidP="00CD2FCB">
      <w:pPr>
        <w:pStyle w:val="BodyText"/>
        <w:rPr>
          <w:rFonts w:cs="Arial"/>
          <w:b/>
        </w:rPr>
      </w:pPr>
      <w:r w:rsidRPr="00E7427F">
        <w:rPr>
          <w:rFonts w:cs="Arial"/>
          <w:b/>
        </w:rPr>
        <w:t xml:space="preserve">APPENDIX </w:t>
      </w:r>
      <w:r w:rsidR="001B647F" w:rsidRPr="00E7427F">
        <w:rPr>
          <w:rFonts w:cs="Arial"/>
          <w:b/>
        </w:rPr>
        <w:t>F</w:t>
      </w:r>
      <w:r w:rsidRPr="00E7427F">
        <w:rPr>
          <w:rFonts w:cs="Arial"/>
          <w:b/>
        </w:rPr>
        <w:t xml:space="preserve"> – SUPPLEMENT</w:t>
      </w:r>
    </w:p>
    <w:p w14:paraId="32B0B993" w14:textId="77777777" w:rsidR="001B647F" w:rsidRPr="00E7427F" w:rsidRDefault="001B647F" w:rsidP="006C0E7D">
      <w:pPr>
        <w:pStyle w:val="BodyText"/>
        <w:rPr>
          <w:rFonts w:cs="Arial"/>
        </w:rPr>
      </w:pPr>
      <w:r w:rsidRPr="00E7427F">
        <w:rPr>
          <w:rFonts w:cs="Arial"/>
        </w:rPr>
        <w:t xml:space="preserve">This Supplement to the Supplier Master Agreement (“SMA”) </w:t>
      </w:r>
      <w:proofErr w:type="gramStart"/>
      <w:r w:rsidRPr="00E7427F">
        <w:rPr>
          <w:rFonts w:cs="Arial"/>
        </w:rPr>
        <w:t>entered into</w:t>
      </w:r>
      <w:proofErr w:type="gramEnd"/>
      <w:r w:rsidRPr="00E7427F">
        <w:rPr>
          <w:rFonts w:cs="Arial"/>
        </w:rPr>
        <w:t xml:space="preserve"> as of [date], by and between Duquesne Light Company (the “Company”) and _________________ (the “DS Supplier”) (together, the “Parties”) is effective as of the Effective Date of the SMA. Except as specifically modified in and by this Supplement, all </w:t>
      </w:r>
      <w:proofErr w:type="gramStart"/>
      <w:r w:rsidRPr="00E7427F">
        <w:rPr>
          <w:rFonts w:cs="Arial"/>
        </w:rPr>
        <w:t>terms</w:t>
      </w:r>
      <w:proofErr w:type="gramEnd"/>
      <w:r w:rsidRPr="00E7427F">
        <w:rPr>
          <w:rFonts w:cs="Arial"/>
        </w:rPr>
        <w:t xml:space="preserve"> and conditions of the SMA shall remain in full force and effect and shall apply to this Supplement. </w:t>
      </w:r>
    </w:p>
    <w:p w14:paraId="712D724E" w14:textId="6DCF5344" w:rsidR="001B647F" w:rsidRPr="00E7427F" w:rsidRDefault="001B647F" w:rsidP="006C0E7D">
      <w:pPr>
        <w:pStyle w:val="BodyText"/>
        <w:rPr>
          <w:rFonts w:cs="Arial"/>
        </w:rPr>
      </w:pPr>
      <w:r w:rsidRPr="00E7427F">
        <w:rPr>
          <w:rFonts w:cs="Arial"/>
        </w:rPr>
        <w:t>For purposes of this Supplement: (i) the “PJM RPM Zonal Net Load Price” is the price charged by PJM to LSEs for capacity in the Company’s PJM zone under the Reliability Pricing Model (“RPM”) or its successor; and (ii) the “Capacity Proxy Price” (“CPP”) for the Company is $</w:t>
      </w:r>
      <w:r w:rsidR="00E7427F" w:rsidRPr="00E7427F">
        <w:rPr>
          <w:rFonts w:cs="Arial"/>
        </w:rPr>
        <w:t>31</w:t>
      </w:r>
      <w:r w:rsidRPr="00E7427F">
        <w:rPr>
          <w:rFonts w:cs="Arial"/>
        </w:rPr>
        <w:t>.</w:t>
      </w:r>
      <w:r w:rsidR="00B5000B" w:rsidRPr="00E7427F">
        <w:rPr>
          <w:rFonts w:cs="Arial"/>
        </w:rPr>
        <w:t>5</w:t>
      </w:r>
      <w:r w:rsidR="00E7427F" w:rsidRPr="00E7427F">
        <w:rPr>
          <w:rFonts w:cs="Arial"/>
        </w:rPr>
        <w:t>9</w:t>
      </w:r>
      <w:r w:rsidRPr="00E7427F">
        <w:rPr>
          <w:rFonts w:cs="Arial"/>
        </w:rPr>
        <w:t xml:space="preserve">/MW-day. </w:t>
      </w:r>
    </w:p>
    <w:p w14:paraId="211A4A82" w14:textId="75774108" w:rsidR="006C0E7D" w:rsidRPr="00E7427F" w:rsidRDefault="001B647F" w:rsidP="006C0E7D">
      <w:pPr>
        <w:pStyle w:val="BodyText"/>
        <w:rPr>
          <w:rFonts w:cs="Arial"/>
        </w:rPr>
      </w:pPr>
      <w:r w:rsidRPr="00E7427F">
        <w:rPr>
          <w:rFonts w:cs="Arial"/>
        </w:rPr>
        <w:t>The Capacity Proxy Price for the 202</w:t>
      </w:r>
      <w:r w:rsidR="00E7427F" w:rsidRPr="00E7427F">
        <w:rPr>
          <w:rFonts w:cs="Arial"/>
        </w:rPr>
        <w:t>5</w:t>
      </w:r>
      <w:r w:rsidRPr="00E7427F">
        <w:rPr>
          <w:rFonts w:cs="Arial"/>
        </w:rPr>
        <w:t>/202</w:t>
      </w:r>
      <w:r w:rsidR="00E7427F" w:rsidRPr="00E7427F">
        <w:rPr>
          <w:rFonts w:cs="Arial"/>
        </w:rPr>
        <w:t>6</w:t>
      </w:r>
      <w:r w:rsidRPr="00E7427F">
        <w:rPr>
          <w:rFonts w:cs="Arial"/>
        </w:rPr>
        <w:t xml:space="preserve"> delivery year for the Company is set according to the values provided in the table below</w:t>
      </w:r>
      <w:r w:rsidR="000D0562">
        <w:rPr>
          <w:rFonts w:cs="Arial"/>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6"/>
      </w:tblGrid>
      <w:tr w:rsidR="006C0E7D" w:rsidRPr="00E7427F" w14:paraId="59403792" w14:textId="77777777" w:rsidTr="00BB4729">
        <w:trPr>
          <w:cantSplit/>
        </w:trPr>
        <w:tc>
          <w:tcPr>
            <w:tcW w:w="0" w:type="auto"/>
          </w:tcPr>
          <w:p w14:paraId="08A912BB" w14:textId="225E5BCB" w:rsidR="006C0E7D" w:rsidRPr="00E7427F" w:rsidRDefault="006C0E7D" w:rsidP="00BB4729">
            <w:pPr>
              <w:pStyle w:val="BodyText"/>
              <w:keepNext/>
              <w:keepLines/>
              <w:rPr>
                <w:rFonts w:cs="Arial"/>
                <w:b/>
                <w:noProof/>
              </w:rPr>
            </w:pPr>
            <w:r w:rsidRPr="00E7427F">
              <w:rPr>
                <w:rFonts w:cs="Arial"/>
                <w:b/>
                <w:noProof/>
              </w:rPr>
              <w:t xml:space="preserve">Figure Capacity Proxy Price </w:t>
            </w:r>
            <w:r w:rsidR="00B8252C" w:rsidRPr="00E7427F">
              <w:rPr>
                <w:rFonts w:cs="Arial"/>
                <w:b/>
                <w:noProof/>
              </w:rPr>
              <w:t>for the Company</w:t>
            </w:r>
            <w:r w:rsidRPr="00E7427F">
              <w:rPr>
                <w:rFonts w:cs="Arial"/>
                <w:b/>
                <w:noProof/>
              </w:rPr>
              <w:t xml:space="preserve"> for</w:t>
            </w:r>
            <w:r w:rsidR="005A2D40" w:rsidRPr="00E7427F">
              <w:rPr>
                <w:rFonts w:cs="Arial"/>
                <w:b/>
                <w:noProof/>
              </w:rPr>
              <w:t xml:space="preserve"> Energy Year</w:t>
            </w:r>
            <w:r w:rsidRPr="00E7427F">
              <w:rPr>
                <w:rFonts w:cs="Arial"/>
                <w:b/>
                <w:noProof/>
              </w:rPr>
              <w:t xml:space="preserve"> </w:t>
            </w:r>
            <w:r w:rsidR="00805C31" w:rsidRPr="00E7427F">
              <w:rPr>
                <w:rFonts w:cs="Arial"/>
                <w:b/>
                <w:noProof/>
              </w:rPr>
              <w:t>202</w:t>
            </w:r>
            <w:r w:rsidR="0034350D" w:rsidRPr="00E7427F">
              <w:rPr>
                <w:rFonts w:cs="Arial"/>
                <w:b/>
                <w:noProof/>
              </w:rPr>
              <w:t>5</w:t>
            </w:r>
            <w:r w:rsidR="00805C31" w:rsidRPr="00E7427F">
              <w:rPr>
                <w:rFonts w:cs="Arial"/>
                <w:b/>
                <w:noProof/>
              </w:rPr>
              <w:t>/202</w:t>
            </w:r>
            <w:r w:rsidR="0034350D" w:rsidRPr="00E7427F">
              <w:rPr>
                <w:rFonts w:cs="Arial"/>
                <w:b/>
                <w:noProof/>
              </w:rPr>
              <w:t>6</w:t>
            </w:r>
          </w:p>
        </w:tc>
      </w:tr>
      <w:tr w:rsidR="006C0E7D" w:rsidRPr="00E7427F" w14:paraId="3B45AA1F" w14:textId="77777777" w:rsidTr="00BB4729">
        <w:trPr>
          <w:cantSplit/>
          <w:trHeight w:val="198"/>
        </w:trPr>
        <w:tc>
          <w:tcPr>
            <w:tcW w:w="0" w:type="auto"/>
          </w:tcPr>
          <w:tbl>
            <w:tblPr>
              <w:tblW w:w="8180" w:type="dxa"/>
              <w:tblLook w:val="04A0" w:firstRow="1" w:lastRow="0" w:firstColumn="1" w:lastColumn="0" w:noHBand="0" w:noVBand="1"/>
            </w:tblPr>
            <w:tblGrid>
              <w:gridCol w:w="2240"/>
              <w:gridCol w:w="2320"/>
              <w:gridCol w:w="2320"/>
              <w:gridCol w:w="1300"/>
            </w:tblGrid>
            <w:tr w:rsidR="00B5000B" w:rsidRPr="00E7427F" w14:paraId="18B926AC" w14:textId="77777777" w:rsidTr="00E7427F">
              <w:trPr>
                <w:trHeight w:val="1007"/>
              </w:trPr>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3CF2AA" w14:textId="77777777" w:rsidR="00B5000B" w:rsidRPr="00E7427F" w:rsidRDefault="00B5000B" w:rsidP="00B5000B">
                  <w:pPr>
                    <w:spacing w:after="0" w:line="240" w:lineRule="auto"/>
                    <w:jc w:val="center"/>
                    <w:rPr>
                      <w:rFonts w:ascii="Arial" w:eastAsia="Times New Roman" w:hAnsi="Arial" w:cs="Arial"/>
                      <w:color w:val="000000"/>
                      <w:sz w:val="20"/>
                      <w:szCs w:val="20"/>
                    </w:rPr>
                  </w:pPr>
                  <w:r w:rsidRPr="00E7427F">
                    <w:rPr>
                      <w:rFonts w:ascii="Arial" w:eastAsia="Times New Roman" w:hAnsi="Arial" w:cs="Arial"/>
                      <w:color w:val="000000"/>
                      <w:sz w:val="20"/>
                      <w:szCs w:val="20"/>
                    </w:rPr>
                    <w:t> </w:t>
                  </w:r>
                </w:p>
              </w:tc>
              <w:tc>
                <w:tcPr>
                  <w:tcW w:w="2320" w:type="dxa"/>
                  <w:tcBorders>
                    <w:top w:val="single" w:sz="4" w:space="0" w:color="auto"/>
                    <w:left w:val="nil"/>
                    <w:bottom w:val="single" w:sz="4" w:space="0" w:color="auto"/>
                    <w:right w:val="single" w:sz="4" w:space="0" w:color="auto"/>
                  </w:tcBorders>
                  <w:shd w:val="clear" w:color="000000" w:fill="FFFFFF"/>
                  <w:hideMark/>
                </w:tcPr>
                <w:p w14:paraId="62365AD1" w14:textId="2D253C1F" w:rsidR="00B5000B" w:rsidRPr="00E7427F" w:rsidRDefault="00B5000B" w:rsidP="00E7427F">
                  <w:pPr>
                    <w:spacing w:after="0" w:line="240" w:lineRule="auto"/>
                    <w:jc w:val="center"/>
                    <w:rPr>
                      <w:rFonts w:ascii="Arial" w:eastAsia="Times New Roman" w:hAnsi="Arial" w:cs="Arial"/>
                      <w:color w:val="000000"/>
                      <w:sz w:val="20"/>
                      <w:szCs w:val="20"/>
                    </w:rPr>
                  </w:pPr>
                  <w:r w:rsidRPr="00E7427F">
                    <w:rPr>
                      <w:rFonts w:ascii="Arial" w:hAnsi="Arial" w:cs="Arial"/>
                      <w:color w:val="000000"/>
                      <w:sz w:val="20"/>
                      <w:szCs w:val="20"/>
                    </w:rPr>
                    <w:t>202</w:t>
                  </w:r>
                  <w:r w:rsidR="0034350D" w:rsidRPr="00E7427F">
                    <w:rPr>
                      <w:rFonts w:ascii="Arial" w:hAnsi="Arial" w:cs="Arial"/>
                      <w:color w:val="000000"/>
                      <w:sz w:val="20"/>
                      <w:szCs w:val="20"/>
                    </w:rPr>
                    <w:t>3</w:t>
                  </w:r>
                  <w:r w:rsidRPr="00E7427F">
                    <w:rPr>
                      <w:rFonts w:ascii="Arial" w:hAnsi="Arial" w:cs="Arial"/>
                      <w:color w:val="000000"/>
                      <w:sz w:val="20"/>
                      <w:szCs w:val="20"/>
                    </w:rPr>
                    <w:t>/202</w:t>
                  </w:r>
                  <w:r w:rsidR="0034350D" w:rsidRPr="00E7427F">
                    <w:rPr>
                      <w:rFonts w:ascii="Arial" w:hAnsi="Arial" w:cs="Arial"/>
                      <w:color w:val="000000"/>
                      <w:sz w:val="20"/>
                      <w:szCs w:val="20"/>
                    </w:rPr>
                    <w:t>4</w:t>
                  </w:r>
                  <w:r w:rsidRPr="00E7427F">
                    <w:rPr>
                      <w:rFonts w:ascii="Arial" w:hAnsi="Arial" w:cs="Arial"/>
                      <w:color w:val="000000"/>
                      <w:sz w:val="20"/>
                      <w:szCs w:val="20"/>
                    </w:rPr>
                    <w:t xml:space="preserve"> Delivery Year. </w:t>
                  </w:r>
                  <w:r w:rsidR="0034350D" w:rsidRPr="00E7427F">
                    <w:rPr>
                      <w:rFonts w:ascii="Arial" w:hAnsi="Arial" w:cs="Arial"/>
                      <w:color w:val="000000"/>
                      <w:sz w:val="20"/>
                      <w:szCs w:val="20"/>
                    </w:rPr>
                    <w:t>3</w:t>
                  </w:r>
                  <w:r w:rsidR="0034350D" w:rsidRPr="00E7427F">
                    <w:rPr>
                      <w:rFonts w:ascii="Arial" w:hAnsi="Arial" w:cs="Arial"/>
                      <w:color w:val="000000"/>
                      <w:sz w:val="20"/>
                      <w:szCs w:val="20"/>
                      <w:vertAlign w:val="superscript"/>
                    </w:rPr>
                    <w:t>rd</w:t>
                  </w:r>
                  <w:r w:rsidR="0034350D" w:rsidRPr="00E7427F">
                    <w:rPr>
                      <w:rFonts w:ascii="Arial" w:hAnsi="Arial" w:cs="Arial"/>
                      <w:color w:val="000000"/>
                      <w:sz w:val="20"/>
                      <w:szCs w:val="20"/>
                    </w:rPr>
                    <w:t xml:space="preserve"> </w:t>
                  </w:r>
                  <w:r w:rsidR="000D0562">
                    <w:rPr>
                      <w:rFonts w:ascii="Arial" w:hAnsi="Arial" w:cs="Arial"/>
                      <w:color w:val="000000"/>
                      <w:sz w:val="20"/>
                      <w:szCs w:val="20"/>
                    </w:rPr>
                    <w:t>I</w:t>
                  </w:r>
                  <w:r w:rsidR="0034350D" w:rsidRPr="00E7427F">
                    <w:rPr>
                      <w:rFonts w:ascii="Arial" w:hAnsi="Arial" w:cs="Arial"/>
                      <w:color w:val="000000"/>
                      <w:sz w:val="20"/>
                      <w:szCs w:val="20"/>
                    </w:rPr>
                    <w:t>ncremental</w:t>
                  </w:r>
                  <w:r w:rsidR="000D0562">
                    <w:rPr>
                      <w:rFonts w:ascii="Arial" w:hAnsi="Arial" w:cs="Arial"/>
                      <w:color w:val="000000"/>
                      <w:sz w:val="20"/>
                      <w:szCs w:val="20"/>
                    </w:rPr>
                    <w:t xml:space="preserve"> Auction</w:t>
                  </w:r>
                  <w:r w:rsidRPr="00E7427F">
                    <w:rPr>
                      <w:rFonts w:ascii="Arial" w:hAnsi="Arial" w:cs="Arial"/>
                      <w:color w:val="000000"/>
                      <w:sz w:val="20"/>
                      <w:szCs w:val="20"/>
                    </w:rPr>
                    <w:t>. Adjusted Zonal Net Load Price ($/MW-day)</w:t>
                  </w:r>
                </w:p>
              </w:tc>
              <w:tc>
                <w:tcPr>
                  <w:tcW w:w="2320" w:type="dxa"/>
                  <w:tcBorders>
                    <w:top w:val="single" w:sz="4" w:space="0" w:color="auto"/>
                    <w:left w:val="nil"/>
                    <w:bottom w:val="single" w:sz="4" w:space="0" w:color="auto"/>
                    <w:right w:val="single" w:sz="4" w:space="0" w:color="auto"/>
                  </w:tcBorders>
                  <w:shd w:val="clear" w:color="000000" w:fill="FFFFFF"/>
                  <w:hideMark/>
                </w:tcPr>
                <w:p w14:paraId="5A46F5D1" w14:textId="235CDF52" w:rsidR="00B5000B" w:rsidRPr="00E7427F" w:rsidRDefault="00B5000B" w:rsidP="00E7427F">
                  <w:pPr>
                    <w:spacing w:after="0" w:line="240" w:lineRule="auto"/>
                    <w:jc w:val="center"/>
                    <w:rPr>
                      <w:rFonts w:ascii="Arial" w:eastAsia="Times New Roman" w:hAnsi="Arial" w:cs="Arial"/>
                      <w:color w:val="000000"/>
                      <w:sz w:val="20"/>
                      <w:szCs w:val="20"/>
                    </w:rPr>
                  </w:pPr>
                  <w:r w:rsidRPr="00E7427F">
                    <w:rPr>
                      <w:rFonts w:ascii="Arial" w:hAnsi="Arial" w:cs="Arial"/>
                      <w:color w:val="000000"/>
                      <w:sz w:val="20"/>
                      <w:szCs w:val="20"/>
                    </w:rPr>
                    <w:t>202</w:t>
                  </w:r>
                  <w:r w:rsidR="0034350D" w:rsidRPr="00E7427F">
                    <w:rPr>
                      <w:rFonts w:ascii="Arial" w:hAnsi="Arial" w:cs="Arial"/>
                      <w:color w:val="000000"/>
                      <w:sz w:val="20"/>
                      <w:szCs w:val="20"/>
                    </w:rPr>
                    <w:t>4</w:t>
                  </w:r>
                  <w:r w:rsidRPr="00E7427F">
                    <w:rPr>
                      <w:rFonts w:ascii="Arial" w:hAnsi="Arial" w:cs="Arial"/>
                      <w:color w:val="000000"/>
                      <w:sz w:val="20"/>
                      <w:szCs w:val="20"/>
                    </w:rPr>
                    <w:t>/202</w:t>
                  </w:r>
                  <w:r w:rsidR="0034350D" w:rsidRPr="00E7427F">
                    <w:rPr>
                      <w:rFonts w:ascii="Arial" w:hAnsi="Arial" w:cs="Arial"/>
                      <w:color w:val="000000"/>
                      <w:sz w:val="20"/>
                      <w:szCs w:val="20"/>
                    </w:rPr>
                    <w:t>5</w:t>
                  </w:r>
                  <w:r w:rsidRPr="00E7427F">
                    <w:rPr>
                      <w:rFonts w:ascii="Arial" w:hAnsi="Arial" w:cs="Arial"/>
                      <w:color w:val="000000"/>
                      <w:sz w:val="20"/>
                      <w:szCs w:val="20"/>
                    </w:rPr>
                    <w:t xml:space="preserve"> Delivery Year. Base Residual Auction. </w:t>
                  </w:r>
                  <w:r w:rsidR="002A35A0" w:rsidRPr="00E7427F">
                    <w:rPr>
                      <w:rFonts w:ascii="Arial" w:hAnsi="Arial" w:cs="Arial"/>
                      <w:color w:val="000000"/>
                      <w:sz w:val="20"/>
                      <w:szCs w:val="20"/>
                    </w:rPr>
                    <w:t xml:space="preserve">Adjusted Preliminary Zonal Capacity Price </w:t>
                  </w:r>
                  <w:r w:rsidRPr="00E7427F">
                    <w:rPr>
                      <w:rFonts w:ascii="Arial" w:hAnsi="Arial" w:cs="Arial"/>
                      <w:color w:val="000000"/>
                      <w:sz w:val="20"/>
                      <w:szCs w:val="20"/>
                    </w:rPr>
                    <w:t>($/MW-day)</w:t>
                  </w:r>
                </w:p>
              </w:tc>
              <w:tc>
                <w:tcPr>
                  <w:tcW w:w="1300" w:type="dxa"/>
                  <w:tcBorders>
                    <w:top w:val="single" w:sz="4" w:space="0" w:color="auto"/>
                    <w:left w:val="nil"/>
                    <w:bottom w:val="single" w:sz="4" w:space="0" w:color="auto"/>
                    <w:right w:val="single" w:sz="4" w:space="0" w:color="auto"/>
                  </w:tcBorders>
                  <w:shd w:val="clear" w:color="000000" w:fill="FFFFFF"/>
                  <w:vAlign w:val="bottom"/>
                  <w:hideMark/>
                </w:tcPr>
                <w:p w14:paraId="6F51305C" w14:textId="7B842D2A" w:rsidR="00B5000B" w:rsidRPr="00E7427F" w:rsidRDefault="00B5000B" w:rsidP="00E7427F">
                  <w:pPr>
                    <w:spacing w:after="0" w:line="240" w:lineRule="auto"/>
                    <w:jc w:val="center"/>
                    <w:rPr>
                      <w:rFonts w:ascii="Arial" w:eastAsia="Times New Roman" w:hAnsi="Arial" w:cs="Arial"/>
                      <w:b/>
                      <w:bCs/>
                      <w:color w:val="000000"/>
                      <w:sz w:val="20"/>
                      <w:szCs w:val="20"/>
                    </w:rPr>
                  </w:pPr>
                  <w:r w:rsidRPr="00E7427F">
                    <w:rPr>
                      <w:rFonts w:ascii="Arial" w:eastAsia="Times New Roman" w:hAnsi="Arial" w:cs="Arial"/>
                      <w:b/>
                      <w:bCs/>
                      <w:color w:val="000000"/>
                      <w:sz w:val="20"/>
                      <w:szCs w:val="20"/>
                    </w:rPr>
                    <w:t>202</w:t>
                  </w:r>
                  <w:r w:rsidR="002A35A0" w:rsidRPr="00E7427F">
                    <w:rPr>
                      <w:rFonts w:ascii="Arial" w:eastAsia="Times New Roman" w:hAnsi="Arial" w:cs="Arial"/>
                      <w:b/>
                      <w:bCs/>
                      <w:color w:val="000000"/>
                      <w:sz w:val="20"/>
                      <w:szCs w:val="20"/>
                    </w:rPr>
                    <w:t>5</w:t>
                  </w:r>
                  <w:r w:rsidRPr="00E7427F">
                    <w:rPr>
                      <w:rFonts w:ascii="Arial" w:eastAsia="Times New Roman" w:hAnsi="Arial" w:cs="Arial"/>
                      <w:b/>
                      <w:bCs/>
                      <w:color w:val="000000"/>
                      <w:sz w:val="20"/>
                      <w:szCs w:val="20"/>
                    </w:rPr>
                    <w:t>/202</w:t>
                  </w:r>
                  <w:r w:rsidR="002A35A0" w:rsidRPr="00E7427F">
                    <w:rPr>
                      <w:rFonts w:ascii="Arial" w:eastAsia="Times New Roman" w:hAnsi="Arial" w:cs="Arial"/>
                      <w:b/>
                      <w:bCs/>
                      <w:color w:val="000000"/>
                      <w:sz w:val="20"/>
                      <w:szCs w:val="20"/>
                    </w:rPr>
                    <w:t>6</w:t>
                  </w:r>
                  <w:r w:rsidRPr="00E7427F">
                    <w:rPr>
                      <w:rFonts w:ascii="Arial" w:eastAsia="Times New Roman" w:hAnsi="Arial" w:cs="Arial"/>
                      <w:b/>
                      <w:bCs/>
                      <w:color w:val="000000"/>
                      <w:sz w:val="20"/>
                      <w:szCs w:val="20"/>
                    </w:rPr>
                    <w:t xml:space="preserve"> Capacity Proxy Price ($/MW-day)</w:t>
                  </w:r>
                </w:p>
              </w:tc>
            </w:tr>
            <w:tr w:rsidR="00B8252C" w:rsidRPr="00E7427F" w14:paraId="12195D8B" w14:textId="77777777" w:rsidTr="00B8252C">
              <w:trPr>
                <w:trHeight w:val="287"/>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120D41AB" w14:textId="77777777" w:rsidR="00B8252C" w:rsidRPr="00E7427F" w:rsidRDefault="00B8252C" w:rsidP="00B8252C">
                  <w:pPr>
                    <w:spacing w:after="0" w:line="240" w:lineRule="auto"/>
                    <w:rPr>
                      <w:rFonts w:ascii="Arial" w:eastAsia="Times New Roman" w:hAnsi="Arial" w:cs="Arial"/>
                      <w:b/>
                      <w:bCs/>
                      <w:color w:val="000000"/>
                      <w:sz w:val="20"/>
                      <w:szCs w:val="20"/>
                    </w:rPr>
                  </w:pPr>
                  <w:r w:rsidRPr="00E7427F">
                    <w:rPr>
                      <w:rFonts w:ascii="Arial" w:eastAsia="Times New Roman" w:hAnsi="Arial" w:cs="Arial"/>
                      <w:b/>
                      <w:bCs/>
                      <w:color w:val="000000"/>
                      <w:sz w:val="20"/>
                      <w:szCs w:val="20"/>
                    </w:rPr>
                    <w:t xml:space="preserve">DLCO </w:t>
                  </w:r>
                </w:p>
              </w:tc>
              <w:tc>
                <w:tcPr>
                  <w:tcW w:w="2320" w:type="dxa"/>
                  <w:tcBorders>
                    <w:top w:val="nil"/>
                    <w:left w:val="nil"/>
                    <w:bottom w:val="single" w:sz="4" w:space="0" w:color="auto"/>
                    <w:right w:val="single" w:sz="4" w:space="0" w:color="auto"/>
                  </w:tcBorders>
                  <w:shd w:val="clear" w:color="000000" w:fill="FFFFFF"/>
                  <w:noWrap/>
                  <w:vAlign w:val="bottom"/>
                  <w:hideMark/>
                </w:tcPr>
                <w:p w14:paraId="219D04E8" w14:textId="5F973CEB" w:rsidR="00B8252C" w:rsidRPr="00E7427F" w:rsidRDefault="00B8252C" w:rsidP="00B8252C">
                  <w:pPr>
                    <w:spacing w:after="0" w:line="240" w:lineRule="auto"/>
                    <w:jc w:val="right"/>
                    <w:rPr>
                      <w:rFonts w:ascii="Arial" w:eastAsia="Times New Roman" w:hAnsi="Arial" w:cs="Arial"/>
                      <w:color w:val="000000"/>
                      <w:sz w:val="20"/>
                      <w:szCs w:val="20"/>
                    </w:rPr>
                  </w:pPr>
                  <w:r w:rsidRPr="00E7427F">
                    <w:rPr>
                      <w:rFonts w:ascii="Arial" w:eastAsia="Times New Roman" w:hAnsi="Arial" w:cs="Arial"/>
                      <w:color w:val="000000"/>
                      <w:sz w:val="20"/>
                      <w:szCs w:val="20"/>
                    </w:rPr>
                    <w:t>$</w:t>
                  </w:r>
                  <w:r w:rsidR="0034350D" w:rsidRPr="00E7427F">
                    <w:rPr>
                      <w:rFonts w:ascii="Arial" w:eastAsia="Times New Roman" w:hAnsi="Arial" w:cs="Arial"/>
                      <w:color w:val="000000"/>
                      <w:sz w:val="20"/>
                      <w:szCs w:val="20"/>
                    </w:rPr>
                    <w:t>34</w:t>
                  </w:r>
                  <w:r w:rsidRPr="00E7427F">
                    <w:rPr>
                      <w:rFonts w:ascii="Arial" w:eastAsia="Times New Roman" w:hAnsi="Arial" w:cs="Arial"/>
                      <w:color w:val="000000"/>
                      <w:sz w:val="20"/>
                      <w:szCs w:val="20"/>
                    </w:rPr>
                    <w:t>.</w:t>
                  </w:r>
                  <w:r w:rsidR="0034350D" w:rsidRPr="00E7427F">
                    <w:rPr>
                      <w:rFonts w:ascii="Arial" w:eastAsia="Times New Roman" w:hAnsi="Arial" w:cs="Arial"/>
                      <w:color w:val="000000"/>
                      <w:sz w:val="20"/>
                      <w:szCs w:val="20"/>
                    </w:rPr>
                    <w:t>18</w:t>
                  </w:r>
                  <w:r w:rsidRPr="00E7427F">
                    <w:rPr>
                      <w:rFonts w:ascii="Arial" w:eastAsia="Times New Roman" w:hAnsi="Arial" w:cs="Arial"/>
                      <w:color w:val="000000"/>
                      <w:sz w:val="20"/>
                      <w:szCs w:val="20"/>
                    </w:rPr>
                    <w:t xml:space="preserve"> </w:t>
                  </w:r>
                </w:p>
              </w:tc>
              <w:tc>
                <w:tcPr>
                  <w:tcW w:w="2320" w:type="dxa"/>
                  <w:tcBorders>
                    <w:top w:val="nil"/>
                    <w:left w:val="nil"/>
                    <w:bottom w:val="single" w:sz="4" w:space="0" w:color="auto"/>
                    <w:right w:val="single" w:sz="4" w:space="0" w:color="auto"/>
                  </w:tcBorders>
                  <w:shd w:val="clear" w:color="000000" w:fill="FFFFFF"/>
                  <w:noWrap/>
                  <w:vAlign w:val="bottom"/>
                  <w:hideMark/>
                </w:tcPr>
                <w:p w14:paraId="1FD1EC35" w14:textId="50F4CA39" w:rsidR="00B8252C" w:rsidRPr="00E7427F" w:rsidRDefault="00B8252C" w:rsidP="00B8252C">
                  <w:pPr>
                    <w:spacing w:after="0" w:line="240" w:lineRule="auto"/>
                    <w:jc w:val="right"/>
                    <w:rPr>
                      <w:rFonts w:ascii="Arial" w:eastAsia="Times New Roman" w:hAnsi="Arial" w:cs="Arial"/>
                      <w:color w:val="000000"/>
                      <w:sz w:val="20"/>
                      <w:szCs w:val="20"/>
                    </w:rPr>
                  </w:pPr>
                  <w:r w:rsidRPr="00E7427F">
                    <w:rPr>
                      <w:rFonts w:ascii="Arial" w:eastAsia="Times New Roman" w:hAnsi="Arial" w:cs="Arial"/>
                      <w:color w:val="000000"/>
                      <w:sz w:val="20"/>
                      <w:szCs w:val="20"/>
                    </w:rPr>
                    <w:t>$</w:t>
                  </w:r>
                  <w:r w:rsidR="002A35A0" w:rsidRPr="00E7427F">
                    <w:rPr>
                      <w:rFonts w:ascii="Arial" w:eastAsia="Times New Roman" w:hAnsi="Arial" w:cs="Arial"/>
                      <w:color w:val="000000"/>
                      <w:sz w:val="20"/>
                      <w:szCs w:val="20"/>
                    </w:rPr>
                    <w:t>28</w:t>
                  </w:r>
                  <w:r w:rsidRPr="00E7427F">
                    <w:rPr>
                      <w:rFonts w:ascii="Arial" w:eastAsia="Times New Roman" w:hAnsi="Arial" w:cs="Arial"/>
                      <w:color w:val="000000"/>
                      <w:sz w:val="20"/>
                      <w:szCs w:val="20"/>
                    </w:rPr>
                    <w:t>.</w:t>
                  </w:r>
                  <w:r w:rsidR="002A35A0" w:rsidRPr="00E7427F">
                    <w:rPr>
                      <w:rFonts w:ascii="Arial" w:eastAsia="Times New Roman" w:hAnsi="Arial" w:cs="Arial"/>
                      <w:color w:val="000000"/>
                      <w:sz w:val="20"/>
                      <w:szCs w:val="20"/>
                    </w:rPr>
                    <w:t>99</w:t>
                  </w:r>
                  <w:r w:rsidRPr="00E7427F">
                    <w:rPr>
                      <w:rFonts w:ascii="Arial" w:eastAsia="Times New Roman" w:hAnsi="Arial" w:cs="Arial"/>
                      <w:color w:val="000000"/>
                      <w:sz w:val="20"/>
                      <w:szCs w:val="20"/>
                    </w:rPr>
                    <w:t xml:space="preserve"> </w:t>
                  </w:r>
                </w:p>
              </w:tc>
              <w:tc>
                <w:tcPr>
                  <w:tcW w:w="1300" w:type="dxa"/>
                  <w:tcBorders>
                    <w:top w:val="nil"/>
                    <w:left w:val="nil"/>
                    <w:bottom w:val="single" w:sz="4" w:space="0" w:color="auto"/>
                    <w:right w:val="single" w:sz="4" w:space="0" w:color="auto"/>
                  </w:tcBorders>
                  <w:shd w:val="clear" w:color="000000" w:fill="FFFFFF"/>
                  <w:noWrap/>
                  <w:vAlign w:val="bottom"/>
                  <w:hideMark/>
                </w:tcPr>
                <w:p w14:paraId="535F825F" w14:textId="78B55823" w:rsidR="00B8252C" w:rsidRPr="00E7427F" w:rsidRDefault="00B8252C" w:rsidP="00B8252C">
                  <w:pPr>
                    <w:spacing w:after="0" w:line="240" w:lineRule="auto"/>
                    <w:jc w:val="right"/>
                    <w:rPr>
                      <w:rFonts w:ascii="Arial" w:eastAsia="Times New Roman" w:hAnsi="Arial" w:cs="Arial"/>
                      <w:b/>
                      <w:bCs/>
                      <w:color w:val="000000"/>
                      <w:sz w:val="20"/>
                      <w:szCs w:val="20"/>
                    </w:rPr>
                  </w:pPr>
                  <w:r w:rsidRPr="00E7427F">
                    <w:rPr>
                      <w:rFonts w:ascii="Arial" w:eastAsia="Times New Roman" w:hAnsi="Arial" w:cs="Arial"/>
                      <w:b/>
                      <w:bCs/>
                      <w:color w:val="000000"/>
                      <w:sz w:val="20"/>
                      <w:szCs w:val="20"/>
                    </w:rPr>
                    <w:t>$</w:t>
                  </w:r>
                  <w:r w:rsidR="002A35A0" w:rsidRPr="00E7427F">
                    <w:rPr>
                      <w:rFonts w:ascii="Arial" w:eastAsia="Times New Roman" w:hAnsi="Arial" w:cs="Arial"/>
                      <w:b/>
                      <w:bCs/>
                      <w:color w:val="000000"/>
                      <w:sz w:val="20"/>
                      <w:szCs w:val="20"/>
                    </w:rPr>
                    <w:t>31</w:t>
                  </w:r>
                  <w:r w:rsidRPr="00E7427F">
                    <w:rPr>
                      <w:rFonts w:ascii="Arial" w:eastAsia="Times New Roman" w:hAnsi="Arial" w:cs="Arial"/>
                      <w:b/>
                      <w:bCs/>
                      <w:color w:val="000000"/>
                      <w:sz w:val="20"/>
                      <w:szCs w:val="20"/>
                    </w:rPr>
                    <w:t>.</w:t>
                  </w:r>
                  <w:r w:rsidR="00B5000B" w:rsidRPr="00E7427F">
                    <w:rPr>
                      <w:rFonts w:ascii="Arial" w:eastAsia="Times New Roman" w:hAnsi="Arial" w:cs="Arial"/>
                      <w:b/>
                      <w:bCs/>
                      <w:color w:val="000000"/>
                      <w:sz w:val="20"/>
                      <w:szCs w:val="20"/>
                    </w:rPr>
                    <w:t>5</w:t>
                  </w:r>
                  <w:r w:rsidR="002A35A0" w:rsidRPr="00E7427F">
                    <w:rPr>
                      <w:rFonts w:ascii="Arial" w:eastAsia="Times New Roman" w:hAnsi="Arial" w:cs="Arial"/>
                      <w:b/>
                      <w:bCs/>
                      <w:color w:val="000000"/>
                      <w:sz w:val="20"/>
                      <w:szCs w:val="20"/>
                    </w:rPr>
                    <w:t>9</w:t>
                  </w:r>
                  <w:r w:rsidRPr="00E7427F">
                    <w:rPr>
                      <w:rFonts w:ascii="Arial" w:eastAsia="Times New Roman" w:hAnsi="Arial" w:cs="Arial"/>
                      <w:b/>
                      <w:bCs/>
                      <w:color w:val="000000"/>
                      <w:sz w:val="20"/>
                      <w:szCs w:val="20"/>
                    </w:rPr>
                    <w:t xml:space="preserve"> </w:t>
                  </w:r>
                </w:p>
              </w:tc>
            </w:tr>
          </w:tbl>
          <w:p w14:paraId="3B8A149D" w14:textId="7B7F99D1" w:rsidR="006C0E7D" w:rsidRPr="00E7427F" w:rsidRDefault="006C0E7D" w:rsidP="00BB4729">
            <w:pPr>
              <w:pStyle w:val="BodyText"/>
              <w:spacing w:before="0" w:after="240"/>
              <w:ind w:left="0"/>
              <w:rPr>
                <w:rFonts w:cs="Arial"/>
                <w:noProof/>
              </w:rPr>
            </w:pPr>
            <w:r w:rsidRPr="00E7427F">
              <w:rPr>
                <w:rFonts w:cs="Arial"/>
              </w:rPr>
              <w:t xml:space="preserve">Source:  </w:t>
            </w:r>
            <w:hyperlink r:id="rId7" w:history="1">
              <w:r w:rsidRPr="00E7427F">
                <w:rPr>
                  <w:rStyle w:val="Hyperlink"/>
                  <w:rFonts w:cs="Arial"/>
                  <w:sz w:val="20"/>
                </w:rPr>
                <w:t>https://www.pjm.com/markets-and-operations/rpm.aspx</w:t>
              </w:r>
            </w:hyperlink>
            <w:r w:rsidRPr="00E7427F">
              <w:rPr>
                <w:rFonts w:cs="Arial"/>
              </w:rPr>
              <w:t xml:space="preserve"> and </w:t>
            </w:r>
            <w:hyperlink r:id="rId8" w:history="1">
              <w:r w:rsidRPr="00E7427F">
                <w:rPr>
                  <w:rFonts w:cs="Arial"/>
                </w:rPr>
                <w:t>calculations</w:t>
              </w:r>
            </w:hyperlink>
          </w:p>
        </w:tc>
      </w:tr>
    </w:tbl>
    <w:p w14:paraId="68FEA22D" w14:textId="4A4AD16B" w:rsidR="001B647F" w:rsidRPr="00E7427F" w:rsidRDefault="001B647F" w:rsidP="00BA327B">
      <w:pPr>
        <w:pStyle w:val="BodyText"/>
        <w:keepNext/>
        <w:keepLines/>
        <w:rPr>
          <w:rFonts w:cs="Arial"/>
        </w:rPr>
      </w:pPr>
      <w:r w:rsidRPr="00E7427F">
        <w:rPr>
          <w:rFonts w:cs="Arial"/>
        </w:rPr>
        <w:t>The CPP for the Company is the average of the capacity prices for 202</w:t>
      </w:r>
      <w:r w:rsidR="004D58ED">
        <w:rPr>
          <w:rFonts w:cs="Arial"/>
        </w:rPr>
        <w:t>3</w:t>
      </w:r>
      <w:r w:rsidRPr="00E7427F">
        <w:rPr>
          <w:rFonts w:cs="Arial"/>
        </w:rPr>
        <w:t>/202</w:t>
      </w:r>
      <w:r w:rsidR="004D58ED">
        <w:rPr>
          <w:rFonts w:cs="Arial"/>
        </w:rPr>
        <w:t>4</w:t>
      </w:r>
      <w:r w:rsidRPr="00E7427F">
        <w:rPr>
          <w:rFonts w:cs="Arial"/>
        </w:rPr>
        <w:t xml:space="preserve"> (Adjusted Zonal Net Load Price) and 202</w:t>
      </w:r>
      <w:r w:rsidR="004D58ED">
        <w:rPr>
          <w:rFonts w:cs="Arial"/>
        </w:rPr>
        <w:t>4</w:t>
      </w:r>
      <w:r w:rsidRPr="00E7427F">
        <w:rPr>
          <w:rFonts w:cs="Arial"/>
        </w:rPr>
        <w:t>/202</w:t>
      </w:r>
      <w:r w:rsidR="004D58ED">
        <w:rPr>
          <w:rFonts w:cs="Arial"/>
        </w:rPr>
        <w:t>5</w:t>
      </w:r>
      <w:r w:rsidRPr="00E7427F">
        <w:rPr>
          <w:rFonts w:cs="Arial"/>
        </w:rPr>
        <w:t xml:space="preserve"> (Adjusted</w:t>
      </w:r>
      <w:r w:rsidR="004D58ED">
        <w:rPr>
          <w:rFonts w:cs="Arial"/>
        </w:rPr>
        <w:t xml:space="preserve"> Preliminary</w:t>
      </w:r>
      <w:r w:rsidRPr="00E7427F">
        <w:rPr>
          <w:rFonts w:cs="Arial"/>
        </w:rPr>
        <w:t xml:space="preserve"> Zonal Net Load Price), i.e., the two years preceding the 202</w:t>
      </w:r>
      <w:r w:rsidR="004D58ED">
        <w:rPr>
          <w:rFonts w:cs="Arial"/>
        </w:rPr>
        <w:t>5</w:t>
      </w:r>
      <w:r w:rsidRPr="00E7427F">
        <w:rPr>
          <w:rFonts w:cs="Arial"/>
        </w:rPr>
        <w:t>/202</w:t>
      </w:r>
      <w:r w:rsidR="004D58ED">
        <w:rPr>
          <w:rFonts w:cs="Arial"/>
        </w:rPr>
        <w:t>6</w:t>
      </w:r>
      <w:r w:rsidRPr="00E7427F">
        <w:rPr>
          <w:rFonts w:cs="Arial"/>
        </w:rPr>
        <w:t xml:space="preserve"> delivery year. The most recent data available from PJM are used for the 202</w:t>
      </w:r>
      <w:r w:rsidR="004D58ED">
        <w:rPr>
          <w:rFonts w:cs="Arial"/>
        </w:rPr>
        <w:t>3</w:t>
      </w:r>
      <w:r w:rsidRPr="00E7427F">
        <w:rPr>
          <w:rFonts w:cs="Arial"/>
        </w:rPr>
        <w:t>/202</w:t>
      </w:r>
      <w:r w:rsidR="004D58ED">
        <w:rPr>
          <w:rFonts w:cs="Arial"/>
        </w:rPr>
        <w:t>4</w:t>
      </w:r>
      <w:r w:rsidRPr="00E7427F">
        <w:rPr>
          <w:rFonts w:cs="Arial"/>
        </w:rPr>
        <w:t xml:space="preserve"> and 202</w:t>
      </w:r>
      <w:r w:rsidR="004D58ED">
        <w:rPr>
          <w:rFonts w:cs="Arial"/>
        </w:rPr>
        <w:t>4</w:t>
      </w:r>
      <w:r w:rsidRPr="00E7427F">
        <w:rPr>
          <w:rFonts w:cs="Arial"/>
        </w:rPr>
        <w:t>/202</w:t>
      </w:r>
      <w:r w:rsidR="004D58ED">
        <w:rPr>
          <w:rFonts w:cs="Arial"/>
        </w:rPr>
        <w:t>5</w:t>
      </w:r>
      <w:r w:rsidRPr="00E7427F">
        <w:rPr>
          <w:rFonts w:cs="Arial"/>
        </w:rPr>
        <w:t xml:space="preserve"> delivery years.</w:t>
      </w:r>
    </w:p>
    <w:p w14:paraId="061EF269" w14:textId="5B4CA62E" w:rsidR="001B647F" w:rsidRPr="00E7427F" w:rsidRDefault="001B647F" w:rsidP="00BA327B">
      <w:pPr>
        <w:pStyle w:val="BodyText"/>
        <w:keepNext/>
        <w:keepLines/>
        <w:rPr>
          <w:rFonts w:cs="Arial"/>
        </w:rPr>
      </w:pPr>
      <w:r w:rsidRPr="00E7427F">
        <w:rPr>
          <w:rFonts w:cs="Arial"/>
        </w:rPr>
        <w:t>This CPP is applicable to the Company’s September 202</w:t>
      </w:r>
      <w:r w:rsidR="004D58ED">
        <w:rPr>
          <w:rFonts w:cs="Arial"/>
        </w:rPr>
        <w:t>3</w:t>
      </w:r>
      <w:r w:rsidRPr="00E7427F">
        <w:rPr>
          <w:rFonts w:cs="Arial"/>
        </w:rPr>
        <w:t xml:space="preserve"> solicitation, which includes fixed price products that extend into the 202</w:t>
      </w:r>
      <w:r w:rsidR="004D58ED">
        <w:rPr>
          <w:rFonts w:cs="Arial"/>
        </w:rPr>
        <w:t>5</w:t>
      </w:r>
      <w:r w:rsidRPr="00E7427F">
        <w:rPr>
          <w:rFonts w:cs="Arial"/>
        </w:rPr>
        <w:t>/202</w:t>
      </w:r>
      <w:r w:rsidR="004D58ED">
        <w:rPr>
          <w:rFonts w:cs="Arial"/>
        </w:rPr>
        <w:t>6</w:t>
      </w:r>
      <w:r w:rsidRPr="00E7427F">
        <w:rPr>
          <w:rFonts w:cs="Arial"/>
        </w:rPr>
        <w:t xml:space="preserve"> delivery year. However, this Appendix will not be applicable to any solicitations after the capacity prices are determined at PJM for the 202</w:t>
      </w:r>
      <w:r w:rsidR="004D58ED">
        <w:rPr>
          <w:rFonts w:cs="Arial"/>
        </w:rPr>
        <w:t>5</w:t>
      </w:r>
      <w:r w:rsidRPr="00E7427F">
        <w:rPr>
          <w:rFonts w:cs="Arial"/>
        </w:rPr>
        <w:t>/202</w:t>
      </w:r>
      <w:r w:rsidR="004D58ED">
        <w:rPr>
          <w:rFonts w:cs="Arial"/>
        </w:rPr>
        <w:t>6</w:t>
      </w:r>
      <w:r w:rsidRPr="00E7427F">
        <w:rPr>
          <w:rFonts w:cs="Arial"/>
        </w:rPr>
        <w:t xml:space="preserve"> delivery year.</w:t>
      </w:r>
    </w:p>
    <w:p w14:paraId="27EB95D1" w14:textId="77777777" w:rsidR="001B647F" w:rsidRPr="00E7427F" w:rsidRDefault="001B647F" w:rsidP="00BA327B">
      <w:pPr>
        <w:pStyle w:val="BodyText"/>
        <w:keepNext/>
        <w:keepLines/>
        <w:rPr>
          <w:rFonts w:cs="Arial"/>
        </w:rPr>
      </w:pPr>
      <w:r w:rsidRPr="00E7427F">
        <w:rPr>
          <w:rFonts w:cs="Arial"/>
        </w:rPr>
        <w:t xml:space="preserve">For and in consideration of the promises and mutual covenants contained herein, and for other good and valuable consideration, the receipt and sufficiency of which are hereby acknowledged, the Parties agree as follows: </w:t>
      </w:r>
    </w:p>
    <w:p w14:paraId="6064F7F9" w14:textId="63F422E5" w:rsidR="00CD2FCB" w:rsidRPr="00E7427F" w:rsidRDefault="00CD2FCB" w:rsidP="00BA327B">
      <w:pPr>
        <w:pStyle w:val="BodyText"/>
        <w:keepNext/>
        <w:keepLines/>
        <w:rPr>
          <w:rFonts w:cs="Arial"/>
        </w:rPr>
      </w:pPr>
      <w:r w:rsidRPr="00E7427F">
        <w:rPr>
          <w:rFonts w:cs="Arial"/>
        </w:rPr>
        <w:t>Section 9.1 (a) of the SMA is replaced with the following:</w:t>
      </w:r>
      <w:r w:rsidR="00774F4C" w:rsidRPr="00E7427F">
        <w:rPr>
          <w:rFonts w:cs="Arial"/>
        </w:rPr>
        <w:t xml:space="preserve">  </w:t>
      </w:r>
    </w:p>
    <w:p w14:paraId="758B8FA9" w14:textId="77777777" w:rsidR="001B647F" w:rsidRPr="00E7427F" w:rsidRDefault="00CD2FCB" w:rsidP="00CD2FCB">
      <w:pPr>
        <w:pStyle w:val="BodyText"/>
        <w:rPr>
          <w:rFonts w:cs="Arial"/>
        </w:rPr>
      </w:pPr>
      <w:r w:rsidRPr="00E7427F">
        <w:rPr>
          <w:rFonts w:cs="Arial"/>
        </w:rPr>
        <w:t>Each Billing Month, the Company will prepare a Statement of amounts due to the DS Supplier.</w:t>
      </w:r>
    </w:p>
    <w:p w14:paraId="708B80AA" w14:textId="228C472F" w:rsidR="001B647F" w:rsidRPr="00E7427F" w:rsidRDefault="001B647F" w:rsidP="001B647F">
      <w:pPr>
        <w:pStyle w:val="BodyText"/>
        <w:numPr>
          <w:ilvl w:val="0"/>
          <w:numId w:val="1"/>
        </w:numPr>
        <w:rPr>
          <w:rFonts w:cs="Arial"/>
        </w:rPr>
      </w:pPr>
      <w:r w:rsidRPr="00E7427F">
        <w:rPr>
          <w:rFonts w:cs="Arial"/>
        </w:rPr>
        <w:t>For Fixed Price Transactions, this Statement will show the aggregate amounts due based on the DS Fixed Price multiplied by the hourly Energy requirements of DS Supply used to determine the PMEA multiplied by the DS Fixed Percentage as shown in Appendix C for each hour of the Billing Month. For charges associated with each Billing Month of Energy Year 202</w:t>
      </w:r>
      <w:r w:rsidR="004D58ED">
        <w:rPr>
          <w:rFonts w:cs="Arial"/>
        </w:rPr>
        <w:t>5</w:t>
      </w:r>
      <w:r w:rsidRPr="00E7427F">
        <w:rPr>
          <w:rFonts w:cs="Arial"/>
        </w:rPr>
        <w:t>/202</w:t>
      </w:r>
      <w:r w:rsidR="004D58ED">
        <w:rPr>
          <w:rFonts w:cs="Arial"/>
        </w:rPr>
        <w:t>6</w:t>
      </w:r>
      <w:r w:rsidRPr="00E7427F">
        <w:rPr>
          <w:rFonts w:cs="Arial"/>
        </w:rPr>
        <w:t xml:space="preserve">, an additional line item will show the difference between the PJM RPM Zonal Net Load Price actually charged for load served on the day for the Company’s PJM zone and the Capacity Proxy Price multiplied by the Supplier Responsibility Share of the Company Capacity obligation (expressed in MW) for each day of the Billing Month in question. </w:t>
      </w:r>
    </w:p>
    <w:p w14:paraId="34BA6384" w14:textId="08B3497F" w:rsidR="006C0E7D" w:rsidRPr="00E7427F" w:rsidRDefault="001B647F" w:rsidP="001B647F">
      <w:pPr>
        <w:pStyle w:val="BodyText"/>
        <w:numPr>
          <w:ilvl w:val="0"/>
          <w:numId w:val="1"/>
        </w:numPr>
        <w:rPr>
          <w:rFonts w:cs="Arial"/>
        </w:rPr>
      </w:pPr>
      <w:r w:rsidRPr="00E7427F">
        <w:rPr>
          <w:rFonts w:cs="Arial"/>
        </w:rPr>
        <w:lastRenderedPageBreak/>
        <w:t>For Hourly Price Transactions, this Statement will show the aggregate amounts due based on the DS Fixed Price Adder For Hourly Price Service multiplied by the hourly Energy requirements of DS Supply used to determine the PMEA multiplied by the DS Fixed Percentage as shown in Appendix C for each hour of the Billing Month, plus the DS Variable Payments used to determine the PMEA for each hour of the Billing Month.</w:t>
      </w:r>
    </w:p>
    <w:p w14:paraId="352B5D9A" w14:textId="77777777" w:rsidR="001B647F" w:rsidRPr="00E7427F" w:rsidRDefault="001B647F" w:rsidP="00CD2FCB">
      <w:pPr>
        <w:pStyle w:val="BodyTex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3240"/>
        <w:gridCol w:w="270"/>
        <w:gridCol w:w="1620"/>
        <w:gridCol w:w="3240"/>
      </w:tblGrid>
      <w:tr w:rsidR="005C1152" w:rsidRPr="00E7427F" w14:paraId="1E733F9C" w14:textId="77777777" w:rsidTr="00BA327B">
        <w:trPr>
          <w:cantSplit/>
        </w:trPr>
        <w:tc>
          <w:tcPr>
            <w:tcW w:w="1170" w:type="dxa"/>
            <w:vAlign w:val="bottom"/>
          </w:tcPr>
          <w:p w14:paraId="5B864C6D" w14:textId="6C943552" w:rsidR="005C1152" w:rsidRPr="00E7427F" w:rsidRDefault="005C1152" w:rsidP="00BA327B">
            <w:pPr>
              <w:pStyle w:val="BodyText"/>
              <w:keepNext/>
              <w:keepLines/>
              <w:spacing w:after="0"/>
              <w:ind w:left="0"/>
              <w:jc w:val="left"/>
              <w:rPr>
                <w:rFonts w:cs="Arial"/>
              </w:rPr>
            </w:pPr>
            <w:r w:rsidRPr="00E7427F">
              <w:rPr>
                <w:rFonts w:cs="Arial"/>
              </w:rPr>
              <w:t>Company</w:t>
            </w:r>
          </w:p>
        </w:tc>
        <w:tc>
          <w:tcPr>
            <w:tcW w:w="3240" w:type="dxa"/>
            <w:vAlign w:val="bottom"/>
          </w:tcPr>
          <w:p w14:paraId="4A2ED853" w14:textId="77777777" w:rsidR="005C1152" w:rsidRPr="00E7427F" w:rsidRDefault="005C1152" w:rsidP="00BA327B">
            <w:pPr>
              <w:pStyle w:val="BodyText"/>
              <w:keepNext/>
              <w:keepLines/>
              <w:spacing w:after="0"/>
              <w:ind w:left="0"/>
              <w:jc w:val="left"/>
              <w:rPr>
                <w:rFonts w:cs="Arial"/>
              </w:rPr>
            </w:pPr>
          </w:p>
        </w:tc>
        <w:tc>
          <w:tcPr>
            <w:tcW w:w="270" w:type="dxa"/>
            <w:vAlign w:val="bottom"/>
          </w:tcPr>
          <w:p w14:paraId="022DC31F" w14:textId="77777777" w:rsidR="005C1152" w:rsidRPr="00E7427F" w:rsidRDefault="005C1152" w:rsidP="00BA327B">
            <w:pPr>
              <w:pStyle w:val="BodyText"/>
              <w:keepNext/>
              <w:keepLines/>
              <w:spacing w:after="0"/>
              <w:ind w:left="0"/>
              <w:jc w:val="left"/>
              <w:rPr>
                <w:rFonts w:cs="Arial"/>
              </w:rPr>
            </w:pPr>
          </w:p>
        </w:tc>
        <w:tc>
          <w:tcPr>
            <w:tcW w:w="1620" w:type="dxa"/>
            <w:vAlign w:val="bottom"/>
          </w:tcPr>
          <w:p w14:paraId="30A31D02" w14:textId="2B11AD91" w:rsidR="005C1152" w:rsidRPr="00E7427F" w:rsidRDefault="005C1152" w:rsidP="00BA327B">
            <w:pPr>
              <w:pStyle w:val="BodyText"/>
              <w:keepNext/>
              <w:keepLines/>
              <w:spacing w:after="0"/>
              <w:ind w:left="0"/>
              <w:jc w:val="left"/>
              <w:rPr>
                <w:rFonts w:cs="Arial"/>
              </w:rPr>
            </w:pPr>
            <w:r w:rsidRPr="00E7427F">
              <w:rPr>
                <w:rFonts w:cs="Arial"/>
              </w:rPr>
              <w:t>DS SUPPLIER</w:t>
            </w:r>
          </w:p>
        </w:tc>
        <w:tc>
          <w:tcPr>
            <w:tcW w:w="3240" w:type="dxa"/>
            <w:vAlign w:val="bottom"/>
          </w:tcPr>
          <w:p w14:paraId="7C9C97AA" w14:textId="77777777" w:rsidR="005C1152" w:rsidRPr="00E7427F" w:rsidRDefault="005C1152" w:rsidP="00BA327B">
            <w:pPr>
              <w:pStyle w:val="BodyText"/>
              <w:keepNext/>
              <w:keepLines/>
              <w:spacing w:after="0"/>
              <w:ind w:left="0"/>
              <w:jc w:val="left"/>
              <w:rPr>
                <w:rFonts w:cs="Arial"/>
              </w:rPr>
            </w:pPr>
          </w:p>
        </w:tc>
      </w:tr>
      <w:tr w:rsidR="005C1152" w:rsidRPr="00E7427F" w14:paraId="109ECE11" w14:textId="77777777" w:rsidTr="00BA327B">
        <w:trPr>
          <w:cantSplit/>
        </w:trPr>
        <w:tc>
          <w:tcPr>
            <w:tcW w:w="1170" w:type="dxa"/>
            <w:vAlign w:val="bottom"/>
          </w:tcPr>
          <w:p w14:paraId="465BF80C" w14:textId="2A4EEF93" w:rsidR="005C1152" w:rsidRPr="00E7427F" w:rsidRDefault="005C1152" w:rsidP="00BA327B">
            <w:pPr>
              <w:pStyle w:val="BodyText"/>
              <w:keepNext/>
              <w:keepLines/>
              <w:spacing w:after="0"/>
              <w:ind w:left="0"/>
              <w:jc w:val="left"/>
              <w:rPr>
                <w:rFonts w:cs="Arial"/>
              </w:rPr>
            </w:pPr>
            <w:r w:rsidRPr="00E7427F">
              <w:rPr>
                <w:rFonts w:cs="Arial"/>
              </w:rPr>
              <w:t>By:</w:t>
            </w:r>
          </w:p>
        </w:tc>
        <w:tc>
          <w:tcPr>
            <w:tcW w:w="3240" w:type="dxa"/>
            <w:tcBorders>
              <w:bottom w:val="single" w:sz="4" w:space="0" w:color="auto"/>
            </w:tcBorders>
            <w:vAlign w:val="bottom"/>
          </w:tcPr>
          <w:p w14:paraId="5147BCED" w14:textId="77777777" w:rsidR="005C1152" w:rsidRPr="00E7427F" w:rsidRDefault="005C1152" w:rsidP="00BA327B">
            <w:pPr>
              <w:pStyle w:val="BodyText"/>
              <w:keepNext/>
              <w:keepLines/>
              <w:spacing w:after="0"/>
              <w:ind w:left="0"/>
              <w:jc w:val="left"/>
              <w:rPr>
                <w:rFonts w:cs="Arial"/>
              </w:rPr>
            </w:pPr>
          </w:p>
        </w:tc>
        <w:tc>
          <w:tcPr>
            <w:tcW w:w="270" w:type="dxa"/>
            <w:vAlign w:val="bottom"/>
          </w:tcPr>
          <w:p w14:paraId="48279E66" w14:textId="77777777" w:rsidR="005C1152" w:rsidRPr="00E7427F" w:rsidRDefault="005C1152" w:rsidP="00BA327B">
            <w:pPr>
              <w:pStyle w:val="BodyText"/>
              <w:keepNext/>
              <w:keepLines/>
              <w:spacing w:after="0"/>
              <w:ind w:left="0"/>
              <w:jc w:val="left"/>
              <w:rPr>
                <w:rFonts w:cs="Arial"/>
              </w:rPr>
            </w:pPr>
          </w:p>
        </w:tc>
        <w:tc>
          <w:tcPr>
            <w:tcW w:w="1620" w:type="dxa"/>
            <w:vAlign w:val="bottom"/>
          </w:tcPr>
          <w:p w14:paraId="32F481C7" w14:textId="44B23CD1" w:rsidR="005C1152" w:rsidRPr="00E7427F" w:rsidRDefault="005C1152" w:rsidP="00BA327B">
            <w:pPr>
              <w:pStyle w:val="BodyText"/>
              <w:keepNext/>
              <w:keepLines/>
              <w:spacing w:after="0"/>
              <w:ind w:left="0"/>
              <w:jc w:val="left"/>
              <w:rPr>
                <w:rFonts w:cs="Arial"/>
              </w:rPr>
            </w:pPr>
            <w:r w:rsidRPr="00E7427F">
              <w:rPr>
                <w:rFonts w:cs="Arial"/>
              </w:rPr>
              <w:t>By:</w:t>
            </w:r>
          </w:p>
        </w:tc>
        <w:tc>
          <w:tcPr>
            <w:tcW w:w="3240" w:type="dxa"/>
            <w:tcBorders>
              <w:bottom w:val="single" w:sz="4" w:space="0" w:color="auto"/>
            </w:tcBorders>
            <w:vAlign w:val="bottom"/>
          </w:tcPr>
          <w:p w14:paraId="69237726" w14:textId="77777777" w:rsidR="005C1152" w:rsidRPr="00E7427F" w:rsidRDefault="005C1152" w:rsidP="00BA327B">
            <w:pPr>
              <w:pStyle w:val="BodyText"/>
              <w:keepNext/>
              <w:keepLines/>
              <w:spacing w:after="0"/>
              <w:ind w:left="0"/>
              <w:jc w:val="left"/>
              <w:rPr>
                <w:rFonts w:cs="Arial"/>
              </w:rPr>
            </w:pPr>
          </w:p>
        </w:tc>
      </w:tr>
      <w:tr w:rsidR="005C1152" w:rsidRPr="00E7427F" w14:paraId="157F8D65" w14:textId="77777777" w:rsidTr="00BA327B">
        <w:trPr>
          <w:cantSplit/>
        </w:trPr>
        <w:tc>
          <w:tcPr>
            <w:tcW w:w="1170" w:type="dxa"/>
            <w:vAlign w:val="bottom"/>
          </w:tcPr>
          <w:p w14:paraId="37540CD0" w14:textId="0A8E3427" w:rsidR="005C1152" w:rsidRPr="00E7427F" w:rsidRDefault="005C1152" w:rsidP="00BA327B">
            <w:pPr>
              <w:pStyle w:val="BodyText"/>
              <w:keepNext/>
              <w:keepLines/>
              <w:spacing w:after="0"/>
              <w:ind w:left="0"/>
              <w:jc w:val="left"/>
              <w:rPr>
                <w:rFonts w:cs="Arial"/>
              </w:rPr>
            </w:pPr>
            <w:r w:rsidRPr="00E7427F">
              <w:rPr>
                <w:rFonts w:cs="Arial"/>
              </w:rPr>
              <w:t>Name:</w:t>
            </w:r>
          </w:p>
        </w:tc>
        <w:tc>
          <w:tcPr>
            <w:tcW w:w="3240" w:type="dxa"/>
            <w:tcBorders>
              <w:top w:val="single" w:sz="4" w:space="0" w:color="auto"/>
              <w:bottom w:val="single" w:sz="4" w:space="0" w:color="auto"/>
            </w:tcBorders>
            <w:vAlign w:val="bottom"/>
          </w:tcPr>
          <w:p w14:paraId="2E7C489A" w14:textId="77777777" w:rsidR="005C1152" w:rsidRPr="00E7427F" w:rsidRDefault="005C1152" w:rsidP="00BA327B">
            <w:pPr>
              <w:pStyle w:val="BodyText"/>
              <w:keepNext/>
              <w:keepLines/>
              <w:spacing w:after="0"/>
              <w:ind w:left="0"/>
              <w:jc w:val="left"/>
              <w:rPr>
                <w:rFonts w:cs="Arial"/>
              </w:rPr>
            </w:pPr>
          </w:p>
        </w:tc>
        <w:tc>
          <w:tcPr>
            <w:tcW w:w="270" w:type="dxa"/>
            <w:vAlign w:val="bottom"/>
          </w:tcPr>
          <w:p w14:paraId="70FA08E5" w14:textId="77777777" w:rsidR="005C1152" w:rsidRPr="00E7427F" w:rsidRDefault="005C1152" w:rsidP="00BA327B">
            <w:pPr>
              <w:pStyle w:val="BodyText"/>
              <w:keepNext/>
              <w:keepLines/>
              <w:spacing w:after="0"/>
              <w:ind w:left="0"/>
              <w:jc w:val="left"/>
              <w:rPr>
                <w:rFonts w:cs="Arial"/>
              </w:rPr>
            </w:pPr>
          </w:p>
        </w:tc>
        <w:tc>
          <w:tcPr>
            <w:tcW w:w="1620" w:type="dxa"/>
            <w:vAlign w:val="bottom"/>
          </w:tcPr>
          <w:p w14:paraId="433427F0" w14:textId="2DD6EC96" w:rsidR="005C1152" w:rsidRPr="00E7427F" w:rsidRDefault="005C1152" w:rsidP="00BA327B">
            <w:pPr>
              <w:pStyle w:val="BodyText"/>
              <w:keepNext/>
              <w:keepLines/>
              <w:spacing w:after="0"/>
              <w:ind w:left="0"/>
              <w:jc w:val="left"/>
              <w:rPr>
                <w:rFonts w:cs="Arial"/>
              </w:rPr>
            </w:pPr>
            <w:r w:rsidRPr="00E7427F">
              <w:rPr>
                <w:rFonts w:cs="Arial"/>
              </w:rPr>
              <w:t>Name:</w:t>
            </w:r>
          </w:p>
        </w:tc>
        <w:tc>
          <w:tcPr>
            <w:tcW w:w="3240" w:type="dxa"/>
            <w:tcBorders>
              <w:top w:val="single" w:sz="4" w:space="0" w:color="auto"/>
              <w:bottom w:val="single" w:sz="4" w:space="0" w:color="auto"/>
            </w:tcBorders>
            <w:vAlign w:val="bottom"/>
          </w:tcPr>
          <w:p w14:paraId="42ECE7A5" w14:textId="77777777" w:rsidR="005C1152" w:rsidRPr="00E7427F" w:rsidRDefault="005C1152" w:rsidP="00BA327B">
            <w:pPr>
              <w:pStyle w:val="BodyText"/>
              <w:keepNext/>
              <w:keepLines/>
              <w:spacing w:after="0"/>
              <w:ind w:left="0"/>
              <w:jc w:val="left"/>
              <w:rPr>
                <w:rFonts w:cs="Arial"/>
              </w:rPr>
            </w:pPr>
          </w:p>
        </w:tc>
      </w:tr>
      <w:tr w:rsidR="005C1152" w:rsidRPr="00E7427F" w14:paraId="5AFF47E6" w14:textId="77777777" w:rsidTr="00BA327B">
        <w:trPr>
          <w:cantSplit/>
        </w:trPr>
        <w:tc>
          <w:tcPr>
            <w:tcW w:w="1170" w:type="dxa"/>
            <w:vAlign w:val="bottom"/>
          </w:tcPr>
          <w:p w14:paraId="5960171C" w14:textId="780E31DC" w:rsidR="005C1152" w:rsidRPr="00E7427F" w:rsidRDefault="005C1152" w:rsidP="00BA327B">
            <w:pPr>
              <w:pStyle w:val="BodyText"/>
              <w:spacing w:after="0"/>
              <w:ind w:left="0"/>
              <w:jc w:val="left"/>
              <w:rPr>
                <w:rFonts w:cs="Arial"/>
              </w:rPr>
            </w:pPr>
            <w:r w:rsidRPr="00E7427F">
              <w:rPr>
                <w:rFonts w:cs="Arial"/>
              </w:rPr>
              <w:t>Title:</w:t>
            </w:r>
          </w:p>
        </w:tc>
        <w:tc>
          <w:tcPr>
            <w:tcW w:w="3240" w:type="dxa"/>
            <w:tcBorders>
              <w:top w:val="single" w:sz="4" w:space="0" w:color="auto"/>
              <w:bottom w:val="single" w:sz="4" w:space="0" w:color="auto"/>
            </w:tcBorders>
            <w:vAlign w:val="bottom"/>
          </w:tcPr>
          <w:p w14:paraId="56636895" w14:textId="77777777" w:rsidR="005C1152" w:rsidRPr="00E7427F" w:rsidRDefault="005C1152" w:rsidP="00BA327B">
            <w:pPr>
              <w:pStyle w:val="BodyText"/>
              <w:spacing w:after="0"/>
              <w:ind w:left="0"/>
              <w:jc w:val="left"/>
              <w:rPr>
                <w:rFonts w:cs="Arial"/>
              </w:rPr>
            </w:pPr>
          </w:p>
        </w:tc>
        <w:tc>
          <w:tcPr>
            <w:tcW w:w="270" w:type="dxa"/>
            <w:vAlign w:val="bottom"/>
          </w:tcPr>
          <w:p w14:paraId="3EB00D0C" w14:textId="77777777" w:rsidR="005C1152" w:rsidRPr="00E7427F" w:rsidRDefault="005C1152" w:rsidP="00BA327B">
            <w:pPr>
              <w:pStyle w:val="BodyText"/>
              <w:spacing w:after="0"/>
              <w:ind w:left="0"/>
              <w:jc w:val="left"/>
              <w:rPr>
                <w:rFonts w:cs="Arial"/>
              </w:rPr>
            </w:pPr>
          </w:p>
        </w:tc>
        <w:tc>
          <w:tcPr>
            <w:tcW w:w="1620" w:type="dxa"/>
            <w:vAlign w:val="bottom"/>
          </w:tcPr>
          <w:p w14:paraId="02F154F0" w14:textId="57145C3C" w:rsidR="005C1152" w:rsidRPr="00E7427F" w:rsidRDefault="005C1152" w:rsidP="00BA327B">
            <w:pPr>
              <w:pStyle w:val="BodyText"/>
              <w:spacing w:after="0"/>
              <w:ind w:left="0"/>
              <w:jc w:val="left"/>
              <w:rPr>
                <w:rFonts w:cs="Arial"/>
              </w:rPr>
            </w:pPr>
            <w:r w:rsidRPr="00E7427F">
              <w:rPr>
                <w:rFonts w:cs="Arial"/>
              </w:rPr>
              <w:t>Title:</w:t>
            </w:r>
          </w:p>
        </w:tc>
        <w:tc>
          <w:tcPr>
            <w:tcW w:w="3240" w:type="dxa"/>
            <w:tcBorders>
              <w:top w:val="single" w:sz="4" w:space="0" w:color="auto"/>
              <w:bottom w:val="single" w:sz="4" w:space="0" w:color="auto"/>
            </w:tcBorders>
            <w:vAlign w:val="bottom"/>
          </w:tcPr>
          <w:p w14:paraId="7F542AEA" w14:textId="77777777" w:rsidR="005C1152" w:rsidRPr="00E7427F" w:rsidRDefault="005C1152" w:rsidP="00BA327B">
            <w:pPr>
              <w:pStyle w:val="BodyText"/>
              <w:spacing w:after="0"/>
              <w:ind w:left="0"/>
              <w:jc w:val="left"/>
              <w:rPr>
                <w:rFonts w:cs="Arial"/>
              </w:rPr>
            </w:pPr>
          </w:p>
        </w:tc>
      </w:tr>
    </w:tbl>
    <w:p w14:paraId="55D46362" w14:textId="77777777" w:rsidR="003B41B9" w:rsidRPr="00E7427F" w:rsidRDefault="003B41B9">
      <w:pPr>
        <w:rPr>
          <w:rFonts w:ascii="Arial" w:hAnsi="Arial" w:cs="Arial"/>
          <w:sz w:val="20"/>
          <w:szCs w:val="20"/>
        </w:rPr>
      </w:pPr>
    </w:p>
    <w:sectPr w:rsidR="003B41B9" w:rsidRPr="00E74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41F8" w14:textId="77777777" w:rsidR="00070ACA" w:rsidRDefault="00070ACA" w:rsidP="00CD2FCB">
      <w:pPr>
        <w:spacing w:after="0" w:line="240" w:lineRule="auto"/>
      </w:pPr>
      <w:r>
        <w:separator/>
      </w:r>
    </w:p>
  </w:endnote>
  <w:endnote w:type="continuationSeparator" w:id="0">
    <w:p w14:paraId="2E0A0C03" w14:textId="77777777" w:rsidR="00070ACA" w:rsidRDefault="00070ACA" w:rsidP="00CD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41DF" w14:textId="77777777" w:rsidR="00070ACA" w:rsidRDefault="00070ACA" w:rsidP="00CD2FCB">
      <w:pPr>
        <w:spacing w:after="0" w:line="240" w:lineRule="auto"/>
      </w:pPr>
      <w:r>
        <w:separator/>
      </w:r>
    </w:p>
  </w:footnote>
  <w:footnote w:type="continuationSeparator" w:id="0">
    <w:p w14:paraId="6F201BCE" w14:textId="77777777" w:rsidR="00070ACA" w:rsidRDefault="00070ACA" w:rsidP="00CD2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673F"/>
    <w:multiLevelType w:val="hybridMultilevel"/>
    <w:tmpl w:val="39CA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4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CB"/>
    <w:rsid w:val="00070ACA"/>
    <w:rsid w:val="0008100A"/>
    <w:rsid w:val="000B7C7B"/>
    <w:rsid w:val="000D0562"/>
    <w:rsid w:val="001164CF"/>
    <w:rsid w:val="001B647F"/>
    <w:rsid w:val="001D3682"/>
    <w:rsid w:val="001E5B4B"/>
    <w:rsid w:val="002156E7"/>
    <w:rsid w:val="002A35A0"/>
    <w:rsid w:val="002D7A26"/>
    <w:rsid w:val="0034121A"/>
    <w:rsid w:val="00341D60"/>
    <w:rsid w:val="0034350D"/>
    <w:rsid w:val="00371500"/>
    <w:rsid w:val="003B41B9"/>
    <w:rsid w:val="004906E8"/>
    <w:rsid w:val="004D58ED"/>
    <w:rsid w:val="005A2D40"/>
    <w:rsid w:val="005C1152"/>
    <w:rsid w:val="006733CD"/>
    <w:rsid w:val="006C0E7D"/>
    <w:rsid w:val="006C4F0C"/>
    <w:rsid w:val="0073762B"/>
    <w:rsid w:val="007641C3"/>
    <w:rsid w:val="00774F4C"/>
    <w:rsid w:val="007B7F78"/>
    <w:rsid w:val="007D0981"/>
    <w:rsid w:val="00805C31"/>
    <w:rsid w:val="00866BAF"/>
    <w:rsid w:val="00870A9E"/>
    <w:rsid w:val="008839A1"/>
    <w:rsid w:val="00962D26"/>
    <w:rsid w:val="009764C1"/>
    <w:rsid w:val="00A51FCF"/>
    <w:rsid w:val="00A829C7"/>
    <w:rsid w:val="00A8612F"/>
    <w:rsid w:val="00B14955"/>
    <w:rsid w:val="00B5000B"/>
    <w:rsid w:val="00B75409"/>
    <w:rsid w:val="00B8252C"/>
    <w:rsid w:val="00BA327B"/>
    <w:rsid w:val="00C102FF"/>
    <w:rsid w:val="00C11A16"/>
    <w:rsid w:val="00C36CA4"/>
    <w:rsid w:val="00CD2FCB"/>
    <w:rsid w:val="00DA13DA"/>
    <w:rsid w:val="00E1198F"/>
    <w:rsid w:val="00E16360"/>
    <w:rsid w:val="00E7427F"/>
    <w:rsid w:val="00EA07E7"/>
    <w:rsid w:val="00F25266"/>
    <w:rsid w:val="00FB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0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lock,bt,t1,taten_body,body text,Body Text 1,NoticeText-List,body"/>
    <w:basedOn w:val="Normal"/>
    <w:link w:val="BodyTextChar1"/>
    <w:rsid w:val="00CD2FCB"/>
    <w:pPr>
      <w:suppressAutoHyphens/>
      <w:spacing w:before="120" w:after="120" w:line="280" w:lineRule="exact"/>
    </w:pPr>
    <w:rPr>
      <w:rFonts w:ascii="Arial" w:eastAsia="Times New Roman" w:hAnsi="Arial" w:cs="Times New Roman"/>
      <w:sz w:val="20"/>
      <w:szCs w:val="20"/>
    </w:rPr>
  </w:style>
  <w:style w:type="character" w:customStyle="1" w:styleId="BodyTextChar">
    <w:name w:val="Body Text Char"/>
    <w:basedOn w:val="DefaultParagraphFont"/>
    <w:uiPriority w:val="99"/>
    <w:semiHidden/>
    <w:rsid w:val="00CD2FCB"/>
  </w:style>
  <w:style w:type="character" w:customStyle="1" w:styleId="BodyTextChar1">
    <w:name w:val="Body Text Char1"/>
    <w:aliases w:val="b Char,block Char,bt Char,t1 Char,taten_body Char,body text Char,Body Text 1 Char,NoticeText-List Char,body Char"/>
    <w:basedOn w:val="DefaultParagraphFont"/>
    <w:link w:val="BodyText"/>
    <w:rsid w:val="00CD2FCB"/>
    <w:rPr>
      <w:rFonts w:ascii="Arial" w:eastAsia="Times New Roman" w:hAnsi="Arial" w:cs="Times New Roman"/>
      <w:sz w:val="20"/>
      <w:szCs w:val="20"/>
    </w:rPr>
  </w:style>
  <w:style w:type="character" w:styleId="CommentReference">
    <w:name w:val="annotation reference"/>
    <w:basedOn w:val="DefaultParagraphFont"/>
    <w:uiPriority w:val="99"/>
    <w:unhideWhenUsed/>
    <w:rsid w:val="00CD2FCB"/>
    <w:rPr>
      <w:sz w:val="16"/>
      <w:szCs w:val="16"/>
    </w:rPr>
  </w:style>
  <w:style w:type="paragraph" w:styleId="CommentText">
    <w:name w:val="annotation text"/>
    <w:basedOn w:val="Normal"/>
    <w:link w:val="CommentTextChar"/>
    <w:uiPriority w:val="99"/>
    <w:unhideWhenUsed/>
    <w:rsid w:val="00CD2FCB"/>
    <w:pPr>
      <w:spacing w:line="240" w:lineRule="auto"/>
    </w:pPr>
    <w:rPr>
      <w:sz w:val="20"/>
      <w:szCs w:val="20"/>
    </w:rPr>
  </w:style>
  <w:style w:type="character" w:customStyle="1" w:styleId="CommentTextChar">
    <w:name w:val="Comment Text Char"/>
    <w:basedOn w:val="DefaultParagraphFont"/>
    <w:link w:val="CommentText"/>
    <w:uiPriority w:val="99"/>
    <w:rsid w:val="00CD2FCB"/>
    <w:rPr>
      <w:sz w:val="20"/>
      <w:szCs w:val="20"/>
    </w:rPr>
  </w:style>
  <w:style w:type="paragraph" w:styleId="BalloonText">
    <w:name w:val="Balloon Text"/>
    <w:basedOn w:val="Normal"/>
    <w:link w:val="BalloonTextChar"/>
    <w:uiPriority w:val="99"/>
    <w:semiHidden/>
    <w:unhideWhenUsed/>
    <w:rsid w:val="00CD2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FCB"/>
    <w:rPr>
      <w:rFonts w:ascii="Segoe UI" w:hAnsi="Segoe UI" w:cs="Segoe UI"/>
      <w:sz w:val="18"/>
      <w:szCs w:val="18"/>
    </w:rPr>
  </w:style>
  <w:style w:type="character" w:styleId="Hyperlink">
    <w:name w:val="Hyperlink"/>
    <w:uiPriority w:val="99"/>
    <w:rsid w:val="006C0E7D"/>
    <w:rPr>
      <w:rFonts w:ascii="Arial" w:hAnsi="Arial"/>
      <w:color w:val="808080"/>
      <w:sz w:val="19"/>
      <w:u w:val="single" w:color="808080"/>
    </w:rPr>
  </w:style>
  <w:style w:type="table" w:styleId="TableGrid">
    <w:name w:val="Table Grid"/>
    <w:basedOn w:val="TableNormal"/>
    <w:rsid w:val="006C0E7D"/>
    <w:pPr>
      <w:spacing w:before="120" w:after="120" w:line="240" w:lineRule="auto"/>
      <w:ind w:left="-720"/>
      <w:jc w:val="both"/>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C0E7D"/>
    <w:rPr>
      <w:b/>
      <w:bCs/>
    </w:rPr>
  </w:style>
  <w:style w:type="character" w:customStyle="1" w:styleId="CommentSubjectChar">
    <w:name w:val="Comment Subject Char"/>
    <w:basedOn w:val="CommentTextChar"/>
    <w:link w:val="CommentSubject"/>
    <w:uiPriority w:val="99"/>
    <w:semiHidden/>
    <w:rsid w:val="006C0E7D"/>
    <w:rPr>
      <w:b/>
      <w:bCs/>
      <w:sz w:val="20"/>
      <w:szCs w:val="20"/>
    </w:rPr>
  </w:style>
  <w:style w:type="character" w:styleId="FollowedHyperlink">
    <w:name w:val="FollowedHyperlink"/>
    <w:basedOn w:val="DefaultParagraphFont"/>
    <w:uiPriority w:val="99"/>
    <w:semiHidden/>
    <w:unhideWhenUsed/>
    <w:rsid w:val="00B75409"/>
    <w:rPr>
      <w:color w:val="954F72" w:themeColor="followedHyperlink"/>
      <w:u w:val="single"/>
    </w:rPr>
  </w:style>
  <w:style w:type="paragraph" w:styleId="Header">
    <w:name w:val="header"/>
    <w:basedOn w:val="Normal"/>
    <w:link w:val="HeaderChar"/>
    <w:uiPriority w:val="99"/>
    <w:unhideWhenUsed/>
    <w:rsid w:val="00FB7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976"/>
  </w:style>
  <w:style w:type="paragraph" w:styleId="Footer">
    <w:name w:val="footer"/>
    <w:basedOn w:val="Normal"/>
    <w:link w:val="FooterChar"/>
    <w:uiPriority w:val="99"/>
    <w:unhideWhenUsed/>
    <w:rsid w:val="00FB7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0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paauction.com/" TargetMode="External"/><Relationship Id="rId3" Type="http://schemas.openxmlformats.org/officeDocument/2006/relationships/settings" Target="settings.xml"/><Relationship Id="rId7" Type="http://schemas.openxmlformats.org/officeDocument/2006/relationships/hyperlink" Target="https://www.pjm.com/markets-and-operations/rp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fd51a4-5314-4c60-bce6-0affc34d9cd7}" enabled="1" method="Standard" siteId="{4a156c19-bc94-41ac-aacf-95468649086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2023-09-05T03:57:00Z</dcterms:created>
  <dcterms:modified xsi:type="dcterms:W3CDTF">2023-09-05T03:57:00Z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41ff032ef99a6841218b0319cdcb022b27faf8d7cf5f584f2a5c70c87ca50e35</vt:lpwstr>
  </property>
</Properties>
</file>